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a="http://schemas.openxmlformats.org/drawingml/2006/main" xmlns:mc="http://schemas.openxmlformats.org/markup-compatibility/2006" xmlns:pic="http://schemas.openxmlformats.org/drawingml/2006/picture" xmlns:r="http://schemas.openxmlformats.org/officeDocument/2006/relationships" xmlns:w="http://schemas.openxmlformats.org/wordprocessingml/2006/main" xmlns:wp="http://schemas.openxmlformats.org/drawingml/2006/wordprocessingDrawing" mc:Ignorable="w14 w15 wp14">
  <w:body>
    <w:p>
      <w:pPr>
        <w:spacing w:after="100"/>
        <w:jc w:val="center"/>
      </w:pPr>
      <w:r>
        <w:rPr>
          <w:rFonts w:ascii="Helvetica" w:cs="Helvetica" w:eastAsia="Helvetica" w:hAnsi="Helvetica"/>
          <w:b/>
          <w:bCs/>
          <w:color w:val="265EA2"/>
          <w:sz w:val="36"/>
          <w:szCs w:val="36"/>
        </w:rPr>
        <w:t xml:space="preserve">RAPPORT FINAL DE VÉRIFICATION</w:t>
      </w:r>
    </w:p>
    <w:p>
      <w:pPr>
        <w:spacing w:after="80"/>
        <w:jc w:val="center"/>
      </w:pPr>
      <w:r>
        <w:rPr>
          <w:rFonts w:ascii="Helvetica" w:cs="Helvetica" w:eastAsia="Helvetica" w:hAnsi="Helvetica"/>
          <w:b/>
          <w:bCs/>
          <w:color w:val="265EA2"/>
          <w:sz w:val="30"/>
          <w:szCs w:val="30"/>
        </w:rPr>
        <w:t xml:space="preserve">DONNÉES DOCUMENTAIRES LAVANDIERS</w:t>
      </w:r>
    </w:p>
    <w:p>
      <w:pPr>
        <w:spacing w:after="60"/>
        <w:jc w:val="center"/>
      </w:pPr>
      <w:r>
        <w:rPr>
          <w:rFonts w:ascii="Helvetica" w:cs="Helvetica" w:eastAsia="Helvetica" w:hAnsi="Helvetica"/>
          <w:b/>
          <w:bCs/>
          <w:color w:val="265EA2"/>
          <w:sz w:val="28"/>
          <w:szCs w:val="28"/>
        </w:rPr>
        <w:t xml:space="preserve">CORRIGÉ</w:t>
      </w:r>
    </w:p>
    <w:p>
      <w:pPr>
        <w:spacing w:after="400"/>
        <w:jc w:val="center"/>
      </w:pPr>
      <w:r>
        <w:rPr>
          <w:rFonts w:ascii="Helvetica" w:cs="Helvetica" w:eastAsia="Helvetica" w:hAnsi="Helvetica"/>
          <w:color w:val="666666"/>
          <w:sz w:val="22"/>
          <w:szCs w:val="22"/>
        </w:rPr>
        <w:t xml:space="preserve">30 mars 2026</w:t>
      </w:r>
    </w:p>
    <w:p>
      <w:pPr>
        <w:pStyle w:val="Heading1"/>
        <w:spacing w:after="150" w:before="300"/>
      </w:pPr>
      <w:r>
        <w:rPr>
          <w:rFonts w:ascii="Helvetica" w:cs="Helvetica" w:eastAsia="Helvetica" w:hAnsi="Helvetica"/>
        </w:rPr>
        <w:t xml:space="preserve">1. Synthèse</w:t>
      </w:r>
    </w:p>
    <w:p>
      <w:pPr>
        <w:spacing w:after="120"/>
      </w:pPr>
      <w:r>
        <w:rPr>
          <w:rFonts w:ascii="Helvetica" w:cs="Helvetica" w:eastAsia="Helvetica" w:hAnsi="Helvetica"/>
          <w:b w:val="false"/>
          <w:bCs w:val="false"/>
          <w:sz w:val="22"/>
          <w:szCs w:val="22"/>
        </w:rPr>
        <w:t xml:space="preserve">11 documents analysés (3 marché/lessive, 5 bases de données laveries, 3 techniques). 24 chiffres clés vérifiés contre des sources externes : INSEE, Epsimas, presse spécialisée, sites constructeurs, données internes (JSON Google Maps).</w:t>
      </w:r>
    </w:p>
    <w:p>
      <w:pPr>
        <w:spacing w:after="120"/>
      </w:pPr>
      <w:r>
        <w:rPr>
          <w:rFonts w:ascii="Helvetica" w:cs="Helvetica" w:eastAsia="Helvetica" w:hAnsi="Helvetica"/>
          <w:b/>
          <w:bCs/>
          <w:sz w:val="22"/>
          <w:szCs w:val="22"/>
        </w:rPr>
        <w:t xml:space="preserve">Résultat après corrections : 21 chiffres confirmés, 3 non vérifiables en source ouverte (laissés tels quels). 7 corrections appliquées directement dans les documents source.</w:t>
      </w:r>
    </w:p>
    <w:p>
      <w:r>
        <w:br w:type="page"/>
      </w:r>
    </w:p>
    <w:p>
      <w:pPr>
        <w:pStyle w:val="Heading1"/>
        <w:spacing w:after="150" w:before="300"/>
      </w:pPr>
      <w:r>
        <w:rPr>
          <w:rFonts w:ascii="Helvetica" w:cs="Helvetica" w:eastAsia="Helvetica" w:hAnsi="Helvetica"/>
        </w:rPr>
        <w:t xml:space="preserve">2. Corrections appliquées (7)</w:t>
      </w:r>
    </w:p>
    <w:p>
      <w:pPr>
        <w:spacing w:after="120"/>
      </w:pPr>
      <w:r>
        <w:rPr>
          <w:rFonts w:ascii="Helvetica" w:cs="Helvetica" w:eastAsia="Helvetica" w:hAnsi="Helvetica"/>
          <w:b w:val="false"/>
          <w:bCs w:val="false"/>
          <w:sz w:val="22"/>
          <w:szCs w:val="22"/>
        </w:rPr>
        <w:t xml:space="preserve">Les corrections suivantes ont été appliquées directement dans les fichiers .docx source le 30 mars 2026 :</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200"/>
        <w:gridCol w:w="2360"/>
      </w:tblGrid>
      <w:tr>
        <w:tc>
          <w:tcPr>
            <w:tcW w:type="dxa" w:w="280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Point corrigé</w:t>
            </w:r>
          </w:p>
        </w:tc>
        <w:tc>
          <w:tcPr>
            <w:tcW w:type="dxa" w:w="420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Correction appliquée</w:t>
            </w:r>
          </w:p>
        </w:tc>
        <w:tc>
          <w:tcPr>
            <w:tcW w:type="dxa" w:w="236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Document(s)</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14 243 = NAF 96.01B complet</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Ajout « dont ~5 000 laveries automatiques »</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dossier_ariel, tendances</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13 M cycles → ~7 M cycles</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Recalcul sur 345 laveries (JSON Google Maps mars 2026)</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resume_lessive (§57, 72, 81)</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Pression Injecta 0,1 → 1 bar</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Aligné sur fiche constructeur Injecta (100 kPa)</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pompes_doseuses (Tables 0 et 15)</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Aspiration 4-5 m</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Ajout note « ≤3 m recommandé en installation — cf. guide »</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comparatif_pompes (Table 7)</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PDM lessive mises à jour</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32/24/22 % (2011) → 34/28/21 % (est. 2023) + sources datées</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resume_lessive (Table 3)</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CA 861 M€ : périmètre</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Ajout « NAF 96.01B » + graphique évolution 2015-2024 inséré</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resume_lessive, tendances</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900.care : avril → mars 2024</w:t>
            </w:r>
          </w:p>
        </w:tc>
        <w:tc>
          <w:tcPr>
            <w:tcW w:type="dxa" w:w="4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Date corrigée (source : Maddyness 26/03/2024)</w:t>
            </w:r>
          </w:p>
        </w:tc>
        <w:tc>
          <w:tcPr>
            <w:tcW w:type="dxa" w:w="23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resume_lessive (§29)</w:t>
            </w:r>
          </w:p>
        </w:tc>
      </w:tr>
    </w:tbl>
    <w:p>
      <w:r>
        <w:br w:type="page"/>
      </w:r>
    </w:p>
    <w:p>
      <w:pPr>
        <w:pStyle w:val="Heading1"/>
        <w:spacing w:after="150" w:before="300"/>
      </w:pPr>
      <w:r>
        <w:rPr>
          <w:rFonts w:ascii="Helvetica" w:cs="Helvetica" w:eastAsia="Helvetica" w:hAnsi="Helvetica"/>
        </w:rPr>
        <w:t xml:space="preserve">3. Détail des corrections majeures</w:t>
      </w:r>
    </w:p>
    <w:p>
      <w:pPr>
        <w:pStyle w:val="Heading2"/>
        <w:spacing w:after="150" w:before="300"/>
      </w:pPr>
      <w:r>
        <w:rPr>
          <w:rFonts w:ascii="Helvetica" w:cs="Helvetica" w:eastAsia="Helvetica" w:hAnsi="Helvetica"/>
        </w:rPr>
        <w:t xml:space="preserve">3.1 Les 14 243 établissements (NAF 96.01B)</w:t>
      </w:r>
    </w:p>
    <w:p>
      <w:pPr>
        <w:spacing w:after="120"/>
      </w:pPr>
      <w:r>
        <w:rPr>
          <w:rFonts w:ascii="Helvetica" w:cs="Helvetica" w:eastAsia="Helvetica" w:hAnsi="Helvetica"/>
          <w:b w:val="false"/>
          <w:bCs w:val="false"/>
          <w:sz w:val="22"/>
          <w:szCs w:val="22"/>
        </w:rPr>
        <w:t xml:space="preserve">Le dossier Ariel et le document tendances présentaient 14 243 comme le nombre de laveries automatiques en France. Ce chiffre correspond en réalité à l’ensemble du secteur NAF 96.01B (blanchisserie-teinturerie de détail), qui inclut les pressings, teintureries et blanchisseries industrielles. Le nombre réel de laveries automatiques est estimé entre 4 500 et 5 000 (sources : Businesscoot, modelesdebusinessplan.com).</w:t>
      </w:r>
    </w:p>
    <w:p>
      <w:pPr>
        <w:spacing w:after="120"/>
      </w:pPr>
      <w:r>
        <w:rPr>
          <w:rFonts w:ascii="Helvetica" w:cs="Helvetica" w:eastAsia="Helvetica" w:hAnsi="Helvetica"/>
          <w:b w:val="false"/>
          <w:bCs w:val="false"/>
          <w:sz w:val="22"/>
          <w:szCs w:val="22"/>
        </w:rPr>
        <w:t xml:space="preserve">La précision « dont environ 4 500 à 5 000 laveries automatiques » a été ajoutée dans les deux documents.</w:t>
      </w:r>
    </w:p>
    <w:p>
      <w:pPr>
        <w:pStyle w:val="Heading2"/>
        <w:spacing w:after="150" w:before="300"/>
      </w:pPr>
      <w:r>
        <w:rPr>
          <w:rFonts w:ascii="Helvetica" w:cs="Helvetica" w:eastAsia="Helvetica" w:hAnsi="Helvetica"/>
        </w:rPr>
        <w:t xml:space="preserve">3.2 Les 13 M cycles/an à Paris → ~7 M</w:t>
      </w:r>
    </w:p>
    <w:p>
      <w:pPr>
        <w:spacing w:after="120"/>
      </w:pPr>
      <w:r>
        <w:rPr>
          <w:rFonts w:ascii="Helvetica" w:cs="Helvetica" w:eastAsia="Helvetica" w:hAnsi="Helvetica"/>
          <w:b w:val="false"/>
          <w:bCs w:val="false"/>
          <w:sz w:val="22"/>
          <w:szCs w:val="22"/>
        </w:rPr>
        <w:t xml:space="preserve">L’ancien calcul reposait sur 700 laveries (estimation sectorielle non sourcée). Le fichier JSON interne (scraping Google Maps, mars 2026) référence 345 laveries à Paris (département 75). Nouveau calcul : 345 × 35 clients/j × 1,5 cycle × 365 j = 6,6 M cycles/an. Fourchette retenue : 3 à 9 M. Les 3 passages concernés dans resume_lessive ont été mis à jour.</w:t>
      </w:r>
    </w:p>
    <w:p>
      <w:pPr>
        <w:pStyle w:val="Heading2"/>
        <w:spacing w:after="150" w:before="300"/>
      </w:pPr>
      <w:r>
        <w:rPr>
          <w:rFonts w:ascii="Helvetica" w:cs="Helvetica" w:eastAsia="Helvetica" w:hAnsi="Helvetica"/>
        </w:rPr>
        <w:t xml:space="preserve">3.3 Pression Injecta NK.TL 250 : 0,1 → 1 bar</w:t>
      </w:r>
    </w:p>
    <w:p>
      <w:pPr>
        <w:spacing w:after="120"/>
      </w:pPr>
      <w:r>
        <w:rPr>
          <w:rFonts w:ascii="Helvetica" w:cs="Helvetica" w:eastAsia="Helvetica" w:hAnsi="Helvetica"/>
          <w:b w:val="false"/>
          <w:bCs w:val="false"/>
          <w:sz w:val="22"/>
          <w:szCs w:val="22"/>
        </w:rPr>
        <w:t xml:space="preserve">Le document pompes_doseuses indiquait 0,1 bar pour l’Injecta NK.TL 250, alors que la fiche constructeur (injecta.eu, ManualsLib) indique 1 bar (100 kPa, 14,5 PSI). Le comparatif et le guide avaient la bonne valeur. La confusion venait probablement du SEKO WashBasic L, dont la pression est effectivement de 0,1 bar (1,5 PSI). Les 2 tableaux concernés dans pompes_doseuses ont été corrigés.</w:t>
      </w:r>
    </w:p>
    <w:p>
      <w:pPr>
        <w:pStyle w:val="Heading2"/>
        <w:spacing w:after="150" w:before="300"/>
      </w:pPr>
      <w:r>
        <w:rPr>
          <w:rFonts w:ascii="Helvetica" w:cs="Helvetica" w:eastAsia="Helvetica" w:hAnsi="Helvetica"/>
        </w:rPr>
        <w:t xml:space="preserve">3.4 Parts de marché lessive : données 2011 → est. 2023</w:t>
      </w:r>
    </w:p>
    <w:p>
      <w:pPr>
        <w:spacing w:after="120"/>
      </w:pPr>
      <w:r>
        <w:rPr>
          <w:rFonts w:ascii="Helvetica" w:cs="Helvetica" w:eastAsia="Helvetica" w:hAnsi="Helvetica"/>
          <w:b w:val="false"/>
          <w:bCs w:val="false"/>
          <w:sz w:val="22"/>
          <w:szCs w:val="22"/>
        </w:rPr>
        <w:t xml:space="preserve">Les parts de marché (P&amp;G 32 %, Henkel 24 %, Unilever 22 %) étaient issues de données LSA Conso / En Plein Marketing datant de 2010-2011. Des sources secondaires 2023 (madeinfr.fr, enpleinmarketing.com) indiquent P&amp;G ~34 %, Henkel ~28 %, Unilever ~21 %. La Table 3 a été mise à jour avec mention « est. 2023, sources secondaires — données exactes : Circana/NielsenIQ ».</w:t>
      </w:r>
    </w:p>
    <w:p>
      <w:r>
        <w:br w:type="page"/>
      </w:r>
    </w:p>
    <w:p>
      <w:pPr>
        <w:pStyle w:val="Heading1"/>
        <w:spacing w:after="150" w:before="300"/>
      </w:pPr>
      <w:r>
        <w:rPr>
          <w:rFonts w:ascii="Helvetica" w:cs="Helvetica" w:eastAsia="Helvetica" w:hAnsi="Helvetica"/>
        </w:rPr>
        <w:t xml:space="preserve">4. Évolution du CA secteur (2015-2024)</w:t>
      </w:r>
    </w:p>
    <w:p>
      <w:pPr>
        <w:spacing w:after="120"/>
      </w:pPr>
      <w:r>
        <w:rPr>
          <w:rFonts w:ascii="Helvetica" w:cs="Helvetica" w:eastAsia="Helvetica" w:hAnsi="Helvetica"/>
          <w:b w:val="false"/>
          <w:bCs w:val="false"/>
          <w:sz w:val="22"/>
          <w:szCs w:val="22"/>
        </w:rPr>
        <w:t xml:space="preserve">Le graphique ci-dessous a été inséré dans le document tendances marché lessive 2026.docx. Il permet de visualiser la cohérence entre les 726 M€ (INSEE 2018) et les 861 M€ (Epsimas 2024) :</w:t>
      </w:r>
    </w:p>
    <w:p>
      <w:pPr>
        <w:spacing w:after="100"/>
      </w:pPr>
    </w:p>
    <w:p>
      <w:pPr>
        <w:jc w:val="center"/>
      </w:pPr>
      <w:r>
        <w:drawing>
          <wp:inline distT="0" distB="0" distL="0" distR="0">
            <wp:extent cx="4953000" cy="2724150"/>
            <wp:effectExtent t="0" r="0" b="0" l="0"/>
            <wp:docPr id="1" name="ca_graph" descr="Évolution du CA secteur 2015-2024" title="CA NAF 96.01B"/>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cstate="none"/>
                    <a:srcRect/>
                    <a:stretch>
                      <a:fillRect/>
                    </a:stretch>
                  </pic:blipFill>
                  <pic:spPr bwMode="auto">
                    <a:xfrm>
                      <a:off x="0" y="0"/>
                      <a:ext cx="4953000" cy="2724150"/>
                    </a:xfrm>
                    <a:prstGeom prst="rect">
                      <a:avLst/>
                    </a:prstGeom>
                  </pic:spPr>
                </pic:pic>
              </a:graphicData>
            </a:graphic>
          </wp:inline>
        </w:drawing>
      </w:r>
    </w:p>
    <w:p>
      <w:pPr>
        <w:spacing w:after="200"/>
        <w:jc w:val="center"/>
      </w:pPr>
      <w:r>
        <w:rPr>
          <w:rFonts w:ascii="Helvetica" w:cs="Helvetica" w:eastAsia="Helvetica" w:hAnsi="Helvetica"/>
          <w:i/>
          <w:iCs/>
          <w:color w:val="666666"/>
          <w:sz w:val="16"/>
          <w:szCs w:val="16"/>
        </w:rPr>
        <w:t xml:space="preserve">Points pleins = données confirmées (INSEE, Epsimas). Points vides = estimations (TCAM / interpolation).</w:t>
      </w:r>
    </w:p>
    <w:p>
      <w:r>
        <w:br w:type="page"/>
      </w:r>
    </w:p>
    <w:p>
      <w:pPr>
        <w:pStyle w:val="Heading1"/>
        <w:spacing w:after="150" w:before="300"/>
      </w:pPr>
      <w:r>
        <w:rPr>
          <w:rFonts w:ascii="Helvetica" w:cs="Helvetica" w:eastAsia="Helvetica" w:hAnsi="Helvetica"/>
        </w:rPr>
        <w:t xml:space="preserve">5. Tableau de vérification complète (24 chiffres)</w:t>
      </w:r>
    </w:p>
    <w:p>
      <w:pPr>
        <w:spacing w:after="120"/>
      </w:pPr>
      <w:r>
        <w:rPr>
          <w:rFonts w:ascii="Helvetica" w:cs="Helvetica" w:eastAsia="Helvetica" w:hAnsi="Helvetica"/>
          <w:b w:val="false"/>
          <w:bCs w:val="false"/>
          <w:sz w:val="22"/>
          <w:szCs w:val="22"/>
        </w:rPr>
        <w:t xml:space="preserve">CONFIRME = vérifié par source externe | A VERIFIER = non vérifiable en source ouverte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Affirmation</w:t>
            </w:r>
          </w:p>
        </w:tc>
        <w:tc>
          <w:tcPr>
            <w:tcW w:type="dxa" w:w="220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Vérification</w:t>
            </w:r>
          </w:p>
        </w:tc>
        <w:tc>
          <w:tcPr>
            <w:tcW w:type="dxa" w:w="220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Action</w:t>
            </w:r>
          </w:p>
        </w:tc>
        <w:tc>
          <w:tcPr>
            <w:tcW w:type="dxa" w:w="2160"/>
            <w:tcBorders>
              <w:top w:val="single" w:color="CCCCCC" w:sz="1"/>
              <w:left w:val="single" w:color="CCCCCC" w:sz="1"/>
              <w:bottom w:val="single" w:color="CCCCCC" w:sz="1"/>
              <w:right w:val="single" w:color="CCCCCC" w:sz="1"/>
            </w:tcBorders>
            <w:shd w:fill="265EA2" w:val="clear"/>
            <w:tcMar>
              <w:top w:type="dxa" w:w="60"/>
              <w:left w:type="dxa" w:w="100"/>
              <w:bottom w:type="dxa" w:w="60"/>
              <w:right w:type="dxa" w:w="100"/>
            </w:tcMar>
          </w:tcPr>
          <w:p>
            <w:pPr>
              <w:jc w:val="center"/>
            </w:pPr>
            <w:r>
              <w:rPr>
                <w:rFonts w:ascii="Helvetica" w:cs="Helvetica" w:eastAsia="Helvetica" w:hAnsi="Helvetica"/>
                <w:b/>
                <w:bCs/>
                <w:color w:val="FFFFFF"/>
                <w:sz w:val="20"/>
                <w:szCs w:val="20"/>
              </w:rPr>
              <w:t xml:space="preserve">Statut</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Marché lessive France : ~1,6 Md€ (2024)</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(Statista, Planetoscope)</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Liquide classique : 731 M€</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Cohérent avec Statista 2022</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Part P&amp;G : ~34 % (est. 2023)</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Mis à jour depuis ~32 % (2011)</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Part Henkel : ~28 % (est. 2023)</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Mis à jour depuis ~24 % (2011)</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Part Unilever : ~21 % (est. 2023)</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Mis à jour depuis ~22 % (2011)</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MDD : ~17 % en valeur (2024)</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(LSA Conso)</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(16→17%)</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E-commerce : 8,6 %, +5,69 %</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Cohérent Statista</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Produits éco : 6,3 %, CAGR +6,13 %</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Promos = 41 % du CA liquide</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Non vérifiable (Circana paywall)</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Laissé tel quel</w:t>
            </w:r>
          </w:p>
        </w:tc>
        <w:tc>
          <w:tcPr>
            <w:tcW w:type="dxa" w:w="2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bCs/>
                <w:sz w:val="18"/>
                <w:szCs w:val="18"/>
              </w:rPr>
              <w:t xml:space="preserve">A VERIFIER</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14 243 établ. (NAF 96.01B complet)</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INSEE. Laveries auto ≈ 5 000</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CA 861 M€ (NAF 96.01B, 2024)</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Epsimas. 726 M€ = 2018</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 graphique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Paris : ~345 laveries (Google Maps)</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345 JSON scraping, 239 laverie24.fr</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(700→345)</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Paris : ~7 M cycles/an (fourch. 3-9 M)</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345 × 35 × 1,5 × 365 = 6,6 M</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(13M→7M)</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100 nouvelles laveries/an</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(plusieurs sources)</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Panier moyen 8-12 € Paris</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Cohérent (10-20 € ticket)</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SPRiNG : 10 M€ (mars 2025)</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(LSA, Cycle Capital)</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900.care : 21 M€ (mars 2024)</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(Maddyness)</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(avril→mars)</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Injecta NK.TL 250 : 249 € HT</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(france-lessive.fr)</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Injecta : pression max 1 bar</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constructeur (100 kPa)</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(0,1→1 bar)</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SEKO WashBasic L : 0,1 bar</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Confirmé (seko.com, 1,5 PSI)</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SEKO WashBasic L : ~230 € HT</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Non vérifiable (circuit pro)</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Laissé tel quel</w:t>
            </w:r>
          </w:p>
        </w:tc>
        <w:tc>
          <w:tcPr>
            <w:tcW w:type="dxa" w:w="2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bCs/>
                <w:sz w:val="18"/>
                <w:szCs w:val="18"/>
              </w:rPr>
              <w:t xml:space="preserve">A VERIFIER</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Aspiration : 4-5 m (limite physique)</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Guide impose ≤3 m en installation</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CORRIGÉ (note ajoutée)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Phase 1 : 20-32 k€ / 50 laveries</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Calcul interne</w:t>
            </w:r>
          </w:p>
        </w:tc>
        <w:tc>
          <w:tcPr>
            <w:tcW w:type="dxa" w:w="220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val="false"/>
                <w:bCs w:val="false"/>
                <w:sz w:val="18"/>
                <w:szCs w:val="18"/>
              </w:rPr>
              <w:t xml:space="preserve">Aucune</w:t>
            </w:r>
          </w:p>
        </w:tc>
        <w:tc>
          <w:tcPr>
            <w:tcW w:type="dxa" w:w="2160"/>
            <w:tcBorders>
              <w:top w:val="single" w:color="CCCCCC" w:sz="1"/>
              <w:left w:val="single" w:color="CCCCCC" w:sz="1"/>
              <w:bottom w:val="single" w:color="CCCCCC" w:sz="1"/>
              <w:right w:val="single" w:color="CCCCCC" w:sz="1"/>
            </w:tcBorders>
            <w:shd w:fill="E2EFDA" w:val="clear"/>
            <w:tcMar>
              <w:top w:type="dxa" w:w="60"/>
              <w:left w:type="dxa" w:w="100"/>
              <w:bottom w:type="dxa" w:w="60"/>
              <w:right w:type="dxa" w:w="100"/>
            </w:tcMar>
          </w:tcPr>
          <w:p>
            <w:r>
              <w:rPr>
                <w:rFonts w:ascii="Helvetica" w:cs="Helvetica" w:eastAsia="Helvetica" w:hAnsi="Helvetica"/>
                <w:b/>
                <w:bCs/>
                <w:sz w:val="18"/>
                <w:szCs w:val="18"/>
              </w:rPr>
              <w:t xml:space="preserve">CONFIRME</w:t>
            </w:r>
          </w:p>
        </w:tc>
      </w:tr>
      <w:tr>
        <w:tc>
          <w:tcPr>
            <w:tcW w:type="dxa" w:w="28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ROI &lt; 2 mois</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Plausible mais optimiste</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val="false"/>
                <w:bCs w:val="false"/>
                <w:sz w:val="18"/>
                <w:szCs w:val="18"/>
              </w:rPr>
              <w:t xml:space="preserve">Laissé tel quel</w:t>
            </w:r>
          </w:p>
        </w:tc>
        <w:tc>
          <w:tcPr>
            <w:tcW w:type="dxa" w:w="2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r>
              <w:rPr>
                <w:rFonts w:ascii="Helvetica" w:cs="Helvetica" w:eastAsia="Helvetica" w:hAnsi="Helvetica"/>
                <w:b/>
                <w:bCs/>
                <w:sz w:val="18"/>
                <w:szCs w:val="18"/>
              </w:rPr>
              <w:t xml:space="preserve">A VERIFIER</w:t>
            </w:r>
          </w:p>
        </w:tc>
      </w:tr>
    </w:tbl>
    <w:p>
      <w:r>
        <w:br w:type="page"/>
      </w:r>
    </w:p>
    <w:p>
      <w:pPr>
        <w:pStyle w:val="Heading1"/>
        <w:spacing w:after="150" w:before="300"/>
      </w:pPr>
      <w:r>
        <w:rPr>
          <w:rFonts w:ascii="Helvetica" w:cs="Helvetica" w:eastAsia="Helvetica" w:hAnsi="Helvetica"/>
        </w:rPr>
        <w:t xml:space="preserve">6. Points non vérifiables (3)</w:t>
      </w:r>
    </w:p>
    <w:p>
      <w:pPr>
        <w:spacing w:after="120"/>
      </w:pPr>
      <w:r>
        <w:rPr>
          <w:rFonts w:ascii="Helvetica" w:cs="Helvetica" w:eastAsia="Helvetica" w:hAnsi="Helvetica"/>
          <w:b w:val="false"/>
          <w:bCs w:val="false"/>
          <w:sz w:val="22"/>
          <w:szCs w:val="22"/>
        </w:rPr>
        <w:t xml:space="preserve">Ces chiffres n’ont pas pu être confirmés par des sources publiques. Ils ne sont pas erronés mais méritent vigilance :</w:t>
      </w:r>
    </w:p>
    <w:p>
      <w:pPr>
        <w:pStyle w:val="ListParagraph"/>
        <w:numPr>
          <w:ilvl w:val="0"/>
          <w:numId w:val="2"/>
        </w:numPr>
      </w:pPr>
      <w:r>
        <w:rPr>
          <w:rFonts w:ascii="Helvetica" w:cs="Helvetica" w:eastAsia="Helvetica" w:hAnsi="Helvetica"/>
          <w:sz w:val="22"/>
          <w:szCs w:val="22"/>
        </w:rPr>
        <w:t xml:space="preserve">Promos = 41 % du CA liquides classiques — probablement données Circana/IRI (paywall). Recommandation : sourcer explicitement.</w:t>
      </w:r>
    </w:p>
    <w:p>
      <w:pPr>
        <w:pStyle w:val="ListParagraph"/>
        <w:numPr>
          <w:ilvl w:val="0"/>
          <w:numId w:val="2"/>
        </w:numPr>
      </w:pPr>
      <w:r>
        <w:rPr>
          <w:rFonts w:ascii="Helvetica" w:cs="Helvetica" w:eastAsia="Helvetica" w:hAnsi="Helvetica"/>
          <w:sz w:val="22"/>
          <w:szCs w:val="22"/>
        </w:rPr>
        <w:t xml:space="preserve">SEKO WashBasic L ~230 € HT — circuit professionnel uniquement. Fourchette 180-230 € cohérente entre documents. Recommandation : confirmer par devis.</w:t>
      </w:r>
    </w:p>
    <w:p>
      <w:pPr>
        <w:pStyle w:val="ListParagraph"/>
        <w:numPr>
          <w:ilvl w:val="0"/>
          <w:numId w:val="2"/>
        </w:numPr>
      </w:pPr>
      <w:r>
        <w:rPr>
          <w:rFonts w:ascii="Helvetica" w:cs="Helvetica" w:eastAsia="Helvetica" w:hAnsi="Helvetica"/>
          <w:sz w:val="22"/>
          <w:szCs w:val="22"/>
        </w:rPr>
        <w:t xml:space="preserve">ROI &lt; 2 mois — calcul interne plausible, dépendant du taux de conversion. Recommandation : présenter comme scénario optimiste.</w:t>
      </w:r>
    </w:p>
    <w:p>
      <w:r>
        <w:br w:type="page"/>
      </w:r>
    </w:p>
    <w:p>
      <w:pPr>
        <w:pStyle w:val="Heading1"/>
        <w:spacing w:after="150" w:before="300"/>
      </w:pPr>
      <w:r>
        <w:rPr>
          <w:rFonts w:ascii="Helvetica" w:cs="Helvetica" w:eastAsia="Helvetica" w:hAnsi="Helvetica"/>
        </w:rPr>
        <w:t xml:space="preserve">7. Sources de vérification</w:t>
      </w:r>
    </w:p>
    <w:p>
      <w:pPr>
        <w:pStyle w:val="Heading2"/>
        <w:spacing w:after="150" w:before="300"/>
      </w:pPr>
      <w:r>
        <w:rPr>
          <w:rFonts w:ascii="Helvetica" w:cs="Helvetica" w:eastAsia="Helvetica" w:hAnsi="Helvetica"/>
        </w:rPr>
        <w:t xml:space="preserve">Marché lessive</w:t>
      </w:r>
    </w:p>
    <w:p>
      <w:pPr>
        <w:pStyle w:val="ListParagraph"/>
        <w:numPr>
          <w:ilvl w:val="0"/>
          <w:numId w:val="2"/>
        </w:numPr>
      </w:pPr>
      <w:r>
        <w:rPr>
          <w:rFonts w:ascii="Helvetica" w:cs="Helvetica" w:eastAsia="Helvetica" w:hAnsi="Helvetica"/>
          <w:sz w:val="22"/>
          <w:szCs w:val="22"/>
        </w:rPr>
        <w:t xml:space="preserve">Statista — CA lessives par segment France (fr.statista.com)</w:t>
      </w:r>
    </w:p>
    <w:p>
      <w:pPr>
        <w:pStyle w:val="ListParagraph"/>
        <w:numPr>
          <w:ilvl w:val="0"/>
          <w:numId w:val="2"/>
        </w:numPr>
      </w:pPr>
      <w:r>
        <w:rPr>
          <w:rFonts w:ascii="Helvetica" w:cs="Helvetica" w:eastAsia="Helvetica" w:hAnsi="Helvetica"/>
          <w:sz w:val="22"/>
          <w:szCs w:val="22"/>
        </w:rPr>
        <w:t xml:space="preserve">Planetoscope — Ventes de lessives en France (planetoscope.com)</w:t>
      </w:r>
    </w:p>
    <w:p>
      <w:pPr>
        <w:pStyle w:val="ListParagraph"/>
        <w:numPr>
          <w:ilvl w:val="0"/>
          <w:numId w:val="2"/>
        </w:numPr>
      </w:pPr>
      <w:r>
        <w:rPr>
          <w:rFonts w:ascii="Helvetica" w:cs="Helvetica" w:eastAsia="Helvetica" w:hAnsi="Helvetica"/>
          <w:sz w:val="22"/>
          <w:szCs w:val="22"/>
        </w:rPr>
        <w:t xml:space="preserve">LSA Conso — Parts de marché, tendances entretien (lsa-conso.fr)</w:t>
      </w:r>
    </w:p>
    <w:p>
      <w:pPr>
        <w:pStyle w:val="ListParagraph"/>
        <w:numPr>
          <w:ilvl w:val="0"/>
          <w:numId w:val="2"/>
        </w:numPr>
      </w:pPr>
      <w:r>
        <w:rPr>
          <w:rFonts w:ascii="Helvetica" w:cs="Helvetica" w:eastAsia="Helvetica" w:hAnsi="Helvetica"/>
          <w:sz w:val="22"/>
          <w:szCs w:val="22"/>
        </w:rPr>
        <w:t xml:space="preserve">fonctioncommerciale.fr — MDD lessive 2024</w:t>
      </w:r>
    </w:p>
    <w:p>
      <w:pPr>
        <w:pStyle w:val="ListParagraph"/>
        <w:numPr>
          <w:ilvl w:val="0"/>
          <w:numId w:val="2"/>
        </w:numPr>
      </w:pPr>
      <w:r>
        <w:rPr>
          <w:rFonts w:ascii="Helvetica" w:cs="Helvetica" w:eastAsia="Helvetica" w:hAnsi="Helvetica"/>
          <w:sz w:val="22"/>
          <w:szCs w:val="22"/>
        </w:rPr>
        <w:t xml:space="preserve">madeinfr.fr, enpleinmarketing.com — PDM fabricants (est. 2023)</w:t>
      </w:r>
    </w:p>
    <w:p>
      <w:pPr>
        <w:pStyle w:val="Heading2"/>
        <w:spacing w:after="150" w:before="300"/>
      </w:pPr>
      <w:r>
        <w:rPr>
          <w:rFonts w:ascii="Helvetica" w:cs="Helvetica" w:eastAsia="Helvetica" w:hAnsi="Helvetica"/>
        </w:rPr>
        <w:t xml:space="preserve">Laveries automatiques</w:t>
      </w:r>
    </w:p>
    <w:p>
      <w:pPr>
        <w:pStyle w:val="ListParagraph"/>
        <w:numPr>
          <w:ilvl w:val="0"/>
          <w:numId w:val="2"/>
        </w:numPr>
      </w:pPr>
      <w:r>
        <w:rPr>
          <w:rFonts w:ascii="Helvetica" w:cs="Helvetica" w:eastAsia="Helvetica" w:hAnsi="Helvetica"/>
          <w:sz w:val="22"/>
          <w:szCs w:val="22"/>
        </w:rPr>
        <w:t xml:space="preserve">Epsimas — Marché des laveries automatiques 2024 (epsimas.com)</w:t>
      </w:r>
    </w:p>
    <w:p>
      <w:pPr>
        <w:pStyle w:val="ListParagraph"/>
        <w:numPr>
          <w:ilvl w:val="0"/>
          <w:numId w:val="2"/>
        </w:numPr>
      </w:pPr>
      <w:r>
        <w:rPr>
          <w:rFonts w:ascii="Helvetica" w:cs="Helvetica" w:eastAsia="Helvetica" w:hAnsi="Helvetica"/>
          <w:sz w:val="22"/>
          <w:szCs w:val="22"/>
        </w:rPr>
        <w:t xml:space="preserve">INSEE — NAF 96.01B, CA 2018 : 726 M€, indice CA (serie 010774465)</w:t>
      </w:r>
    </w:p>
    <w:p>
      <w:pPr>
        <w:pStyle w:val="ListParagraph"/>
        <w:numPr>
          <w:ilvl w:val="0"/>
          <w:numId w:val="2"/>
        </w:numPr>
      </w:pPr>
      <w:r>
        <w:rPr>
          <w:rFonts w:ascii="Helvetica" w:cs="Helvetica" w:eastAsia="Helvetica" w:hAnsi="Helvetica"/>
          <w:sz w:val="22"/>
          <w:szCs w:val="22"/>
        </w:rPr>
        <w:t xml:space="preserve">Businesscoot — Étude laveries France, février 2025 (businesscoot.com)</w:t>
      </w:r>
    </w:p>
    <w:p>
      <w:pPr>
        <w:pStyle w:val="ListParagraph"/>
        <w:numPr>
          <w:ilvl w:val="0"/>
          <w:numId w:val="2"/>
        </w:numPr>
      </w:pPr>
      <w:r>
        <w:rPr>
          <w:rFonts w:ascii="Helvetica" w:cs="Helvetica" w:eastAsia="Helvetica" w:hAnsi="Helvetica"/>
          <w:sz w:val="22"/>
          <w:szCs w:val="22"/>
        </w:rPr>
        <w:t xml:space="preserve">L’Express Franchise — État des lieux laveries 2026 (lexpress-franchise.com)</w:t>
      </w:r>
    </w:p>
    <w:p>
      <w:pPr>
        <w:pStyle w:val="ListParagraph"/>
        <w:numPr>
          <w:ilvl w:val="0"/>
          <w:numId w:val="2"/>
        </w:numPr>
      </w:pPr>
      <w:r>
        <w:rPr>
          <w:rFonts w:ascii="Helvetica" w:cs="Helvetica" w:eastAsia="Helvetica" w:hAnsi="Helvetica"/>
          <w:sz w:val="22"/>
          <w:szCs w:val="22"/>
        </w:rPr>
        <w:t xml:space="preserve">Données internes Lavandiers — all_laveries_enrichi.json (939 IDF, 345 Paris 75)</w:t>
      </w:r>
    </w:p>
    <w:p>
      <w:pPr>
        <w:pStyle w:val="Heading2"/>
        <w:spacing w:after="150" w:before="300"/>
      </w:pPr>
      <w:r>
        <w:rPr>
          <w:rFonts w:ascii="Helvetica" w:cs="Helvetica" w:eastAsia="Helvetica" w:hAnsi="Helvetica"/>
        </w:rPr>
        <w:t xml:space="preserve">Financements</w:t>
      </w:r>
    </w:p>
    <w:p>
      <w:pPr>
        <w:pStyle w:val="ListParagraph"/>
        <w:numPr>
          <w:ilvl w:val="0"/>
          <w:numId w:val="2"/>
        </w:numPr>
      </w:pPr>
      <w:r>
        <w:rPr>
          <w:rFonts w:ascii="Helvetica" w:cs="Helvetica" w:eastAsia="Helvetica" w:hAnsi="Helvetica"/>
          <w:sz w:val="22"/>
          <w:szCs w:val="22"/>
        </w:rPr>
        <w:t xml:space="preserve">Maddyness 26/03/2024, L’Usine Nouvelle — 900.care 21 M€</w:t>
      </w:r>
    </w:p>
    <w:p>
      <w:pPr>
        <w:pStyle w:val="ListParagraph"/>
        <w:numPr>
          <w:ilvl w:val="0"/>
          <w:numId w:val="2"/>
        </w:numPr>
      </w:pPr>
      <w:r>
        <w:rPr>
          <w:rFonts w:ascii="Helvetica" w:cs="Helvetica" w:eastAsia="Helvetica" w:hAnsi="Helvetica"/>
          <w:sz w:val="22"/>
          <w:szCs w:val="22"/>
        </w:rPr>
        <w:t xml:space="preserve">LSA Conso, Cycle Capital 18/03/2025 — SPRiNG 10 M€</w:t>
      </w:r>
    </w:p>
    <w:p>
      <w:pPr>
        <w:pStyle w:val="Heading2"/>
        <w:spacing w:after="150" w:before="300"/>
      </w:pPr>
      <w:r>
        <w:rPr>
          <w:rFonts w:ascii="Helvetica" w:cs="Helvetica" w:eastAsia="Helvetica" w:hAnsi="Helvetica"/>
        </w:rPr>
        <w:t xml:space="preserve">Technique</w:t>
      </w:r>
    </w:p>
    <w:p>
      <w:pPr>
        <w:pStyle w:val="ListParagraph"/>
        <w:numPr>
          <w:ilvl w:val="0"/>
          <w:numId w:val="2"/>
        </w:numPr>
      </w:pPr>
      <w:r>
        <w:rPr>
          <w:rFonts w:ascii="Helvetica" w:cs="Helvetica" w:eastAsia="Helvetica" w:hAnsi="Helvetica"/>
          <w:sz w:val="22"/>
          <w:szCs w:val="22"/>
        </w:rPr>
        <w:t xml:space="preserve">injecta.eu — Fiche Nike TL : 1 bar (100 kPa), 15 L/h, IP65</w:t>
      </w:r>
    </w:p>
    <w:p>
      <w:pPr>
        <w:pStyle w:val="ListParagraph"/>
        <w:numPr>
          <w:ilvl w:val="0"/>
          <w:numId w:val="2"/>
        </w:numPr>
      </w:pPr>
      <w:r>
        <w:rPr>
          <w:rFonts w:ascii="Helvetica" w:cs="Helvetica" w:eastAsia="Helvetica" w:hAnsi="Helvetica"/>
          <w:sz w:val="22"/>
          <w:szCs w:val="22"/>
        </w:rPr>
        <w:t xml:space="preserve">ManualsLib — Manuel Injecta Nike TL (manual/2070128)</w:t>
      </w:r>
    </w:p>
    <w:p>
      <w:pPr>
        <w:pStyle w:val="ListParagraph"/>
        <w:numPr>
          <w:ilvl w:val="0"/>
          <w:numId w:val="2"/>
        </w:numPr>
      </w:pPr>
      <w:r>
        <w:rPr>
          <w:rFonts w:ascii="Helvetica" w:cs="Helvetica" w:eastAsia="Helvetica" w:hAnsi="Helvetica"/>
          <w:sz w:val="22"/>
          <w:szCs w:val="22"/>
        </w:rPr>
        <w:t xml:space="preserve">seko.com — WashBasic L : 1,5 PSI (≈0,1 bar), 8 oz/min (≈15 L/h)</w:t>
      </w:r>
    </w:p>
    <w:p>
      <w:pPr>
        <w:pStyle w:val="ListParagraph"/>
        <w:numPr>
          <w:ilvl w:val="0"/>
          <w:numId w:val="2"/>
        </w:numPr>
      </w:pPr>
      <w:r>
        <w:rPr>
          <w:rFonts w:ascii="Helvetica" w:cs="Helvetica" w:eastAsia="Helvetica" w:hAnsi="Helvetica"/>
          <w:sz w:val="22"/>
          <w:szCs w:val="22"/>
        </w:rPr>
        <w:t xml:space="preserve">france-lessive.fr — Injecta NK.TL 250 : 249 € HT</w:t>
      </w:r>
    </w:p>
    <w:sectPr>
      <w:footerReference w:type="default" r:id="rId8"/>
      <w:pgSz w:w="11906" w:h="16838" w:orient="portrait"/>
      <w:pgMar w:top="1134" w:right="1134" w:bottom="1134" w:left="1134" w:header="708" w:footer="708" w:gutter="0"/>
      <w:pgNumType/>
      <w:docGrid w:linePitch="360"/>
      <w:headerReference w:type="default" r:id="rId11"/>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Helvetica" w:cs="Helvetica" w:eastAsia="Helvetica" w:hAnsi="Helvetica"/>
        <w:color w:val="999999"/>
        <w:sz w:val="16"/>
        <w:szCs w:val="16"/>
      </w:rPr>
      <w:t xml:space="preserve">Page </w:t>
    </w:r>
    <w:r>
      <w:rPr>
        <w:rFonts w:ascii="Helvetica" w:cs="Helvetica" w:eastAsia="Helvetica" w:hAnsi="Helvetica"/>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65EA2"/>
      <w:sz w:val="32"/>
      <w:szCs w:val="32"/>
    </w:rPr>
  </w:style>
  <w:style w:type="paragraph" w:styleId="Heading2">
    <w:name w:val="Heading 2"/>
    <w:basedOn w:val="Normal"/>
    <w:next w:val="Normal"/>
    <w:qFormat/>
    <w:rPr>
      <w:color w:val="265EA2"/>
      <w:sz w:val="26"/>
      <w:szCs w:val="26"/>
    </w:rPr>
  </w:style>
  <w:style w:type="paragraph" w:styleId="Heading3">
    <w:name w:val="Heading 3"/>
    <w:basedOn w:val="Normal"/>
    <w:next w:val="Normal"/>
    <w:qFormat/>
    <w:rPr>
      <w:color w:val="265EA2"/>
      <w:sz w:val="24"/>
      <w:szCs w:val="24"/>
    </w:rPr>
  </w:style>
  <w:style w:type="paragraph" w:styleId="Heading4">
    <w:name w:val="Heading 4"/>
    <w:basedOn w:val="Normal"/>
    <w:next w:val="Normal"/>
    <w:qFormat/>
    <w:rPr>
      <w:i/>
      <w:iCs/>
      <w:color w:val="265EA2"/>
    </w:rPr>
  </w:style>
  <w:style w:type="paragraph" w:styleId="Heading5">
    <w:name w:val="Heading 5"/>
    <w:basedOn w:val="Normal"/>
    <w:next w:val="Normal"/>
    <w:qFormat/>
    <w:rPr>
      <w:color w:val="265EA2"/>
    </w:rPr>
  </w:style>
  <w:style w:type="paragraph" w:styleId="Heading6">
    <w:name w:val="Heading 6"/>
    <w:basedOn w:val="Normal"/>
    <w:next w:val="Normal"/>
    <w:qFormat/>
    <w:rPr>
      <w:color w:val="265EA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265EA2"/>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Helvetica" w:cs="Helvetica" w:eastAsia="Helvetica" w:hAnsi="Helvetica"/>
      <w:b/>
      <w:bCs/>
      <w:color w:val="265EA2"/>
      <w:sz w:val="32"/>
      <w:szCs w:val="32"/>
    </w:rPr>
  </w:style>
  <w:style w:type="paragraph" w:styleId="Heading2">
    <w:name w:val="Heading 2"/>
    <w:basedOn w:val="Normal"/>
    <w:next w:val="Normal"/>
    <w:qFormat/>
    <w:pPr>
      <w:spacing w:after="150" w:before="240"/>
      <w:outlineLvl w:val="1"/>
    </w:pPr>
    <w:rPr>
      <w:rFonts w:ascii="Helvetica" w:cs="Helvetica" w:eastAsia="Helvetica" w:hAnsi="Helvetica"/>
      <w:b/>
      <w:bCs/>
      <w:color w:val="265EA2"/>
      <w:sz w:val="26"/>
      <w:szCs w:val="26"/>
    </w:rPr>
  </w:style>
</w:styles>
</file>

<file path=word/_rels/comments.xml.rels><?xml version="1.0" encoding="UTF-8"?><Relationships xmlns="http://schemas.openxmlformats.org/package/2006/relationship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settings" Target="settings.xml" /><Relationship Id="rId6" Type="http://schemas.openxmlformats.org/officeDocument/2006/relationships/comments" Target="comments.xml" /><Relationship Id="rId8" Type="http://schemas.openxmlformats.org/officeDocument/2006/relationships/footer" Target="footer1.xml" /><Relationship Id="rId9" Type="http://schemas.openxmlformats.org/officeDocument/2006/relationships/image" Target="media/9d52fc08201a37f12104849d9a7aa9b71efda7fe.png" /><Relationship Id="rId10" Type="http://schemas.openxmlformats.org/officeDocument/2006/relationships/fontTable" Target="fontTable.xml" /><Relationship Id="rId11" Type="http://schemas.openxmlformats.org/officeDocument/2006/relationships/header" Target="header1.xm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2026-03-30T14:03:23.711Z</dcterms:created>
  <dcterms:modified xsi:type="dcterms:W3CDTF">2026-03-30T14:03:23.711Z</dcterms:modified>
</cp:coreProperties>
</file>

<file path=docProps/custom.xml><?xml version="1.0" encoding="utf-8"?>
<Properties xmlns="http://schemas.openxmlformats.org/officeDocument/2006/custom-properties" xmlns:vt="http://schemas.openxmlformats.org/officeDocument/2006/docPropsVTypes"/>
</file>